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</w:rPr>
      </w:pPr>
      <w:r w:rsidRPr="005C105F">
        <w:rPr>
          <w:szCs w:val="24"/>
        </w:rPr>
        <w:t>ORDENANZA VI – Nº 55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</w:rPr>
      </w:pPr>
      <w:r w:rsidRPr="005C105F">
        <w:rPr>
          <w:szCs w:val="24"/>
        </w:rPr>
        <w:t>ANEXO  ÚNICO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</w:rPr>
      </w:pP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</w:rPr>
      </w:pP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LEY XVI – N</w:t>
      </w:r>
      <w:proofErr w:type="gramStart"/>
      <w:r w:rsidRPr="005C105F">
        <w:rPr>
          <w:szCs w:val="24"/>
          <w:lang w:val="es-AR"/>
        </w:rPr>
        <w:t>.º</w:t>
      </w:r>
      <w:proofErr w:type="gramEnd"/>
      <w:r w:rsidRPr="005C105F">
        <w:rPr>
          <w:szCs w:val="24"/>
          <w:lang w:val="es-AR"/>
        </w:rPr>
        <w:t xml:space="preserve"> 133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CAPÍTULO I</w:t>
      </w:r>
    </w:p>
    <w:p w:rsidR="00A4636E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</w:p>
    <w:p w:rsidR="00A4636E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SISTEMA PROVINCIAL DE REDUCCIÓN, RECICLADO Y REUTILIZACIÓN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bookmarkStart w:id="0" w:name="_GoBack"/>
      <w:bookmarkEnd w:id="0"/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1.- La presente Ley implementa el Sistema Provincial de Prácticas y Procesos de Reducción, Reciclado y Reutilización de Residuos de Aparatos Eléctricos, Electrónicos y Neumáticos Fuera de Uso, en el marco del Plan Ambiental de Eliminación de Residuos Urbanos y Patológicos de Misiones, establecido por Decreto N.º 171/03 y Ley XVI - N.º 89 (Antes Ley 4274).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2.- Se dispone la instalación estratégica de plantas de separación, clasificación y reutilización, en distintos puntos de la Provincia, celebrando acuerdos entre la Autoridad de Aplicación y el concesionario, en cumplimiento con lo establecido por el Decreto Nº 171/03 y Ley XVI - N</w:t>
      </w:r>
      <w:proofErr w:type="gramStart"/>
      <w:r w:rsidRPr="005C105F">
        <w:rPr>
          <w:szCs w:val="24"/>
          <w:lang w:val="es-AR"/>
        </w:rPr>
        <w:t>.º</w:t>
      </w:r>
      <w:proofErr w:type="gramEnd"/>
      <w:r w:rsidRPr="005C105F">
        <w:rPr>
          <w:szCs w:val="24"/>
          <w:lang w:val="es-AR"/>
        </w:rPr>
        <w:t xml:space="preserve"> 89 (Antes Ley 4274). Asimismo, se deben incorporar tecnologías y sistemas de aprovechamiento y valoración económica de residuos de aparatos eléctricos, electrónicos y neumáticos fuera de uso, como la elaboración de energía por biomasa, con todo el material residual de los procesos previos.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3.- El Ministerio de Ecología y Recursos Naturales Renovables es Autoridad de Aplicación, quien dicta las normas aclaratorias y complementarias que resultan necesarias para el adecuado funcionamiento de la presente.</w:t>
      </w:r>
    </w:p>
    <w:p w:rsidR="00A4636E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CAPÍTULO II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PLAN DE TRATAMIENTO DE RESIDUOS DE APARATOS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ELÉCTRICOS Y ELECTRÓNICOS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 xml:space="preserve">ARTÍCULO 4.- Se crea el Plan de Tratamiento, Eliminación y Uso Sustentable de los Residuos de Aparatos Eléctricos y Electrónicos (RAEE), pertenecientes a las categorías y productos que se fabrican, comercializan o utilizan dentro del territorio de la Provincia, los que se encuentran enunciados en el Anexo Único que forma parte integrante de la presente Ley. 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5.- El Plan creado en el Artículo 4 tiene los siguientes objetivos: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fomentar la importancia del reciclado de los residuos eléctricos y electrónicos con la finalidad de evidenciar el impacto que los mismos generan al medio ambiente;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lastRenderedPageBreak/>
        <w:t>2) promover la donación de los aparatos electrónicos a los fines de minimizar la generación de residuos que generan daño ambiental;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3) evitar el acopio de los aparatos de estas características a través de convenios realizados con los distintos organismos del Estado;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 xml:space="preserve">4) implementar </w:t>
      </w:r>
      <w:proofErr w:type="spellStart"/>
      <w:r w:rsidRPr="005C105F">
        <w:rPr>
          <w:szCs w:val="24"/>
          <w:lang w:val="es-AR"/>
        </w:rPr>
        <w:t>cartelería</w:t>
      </w:r>
      <w:proofErr w:type="spellEnd"/>
      <w:r w:rsidRPr="005C105F">
        <w:rPr>
          <w:szCs w:val="24"/>
          <w:lang w:val="es-AR"/>
        </w:rPr>
        <w:t xml:space="preserve"> y talleres que promocionan el correcto reciclado de los residuos de aparatos eléctricos y electrónicos.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6.- La Autoridad de Aplicación debe desarrollar e implementar programas de reutilización de aparatos eléctricos y electrónicos (RAEE), coordinando acciones con los organismos públicos o privados a los efectos de contribuir con el proceso de reciclado establecido en el Artículo 1.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7.- Se excluyen del Plan creado en el Artículo 4 a los desechos electrónicos relacionados con la protección de intereses esenciales para la seguridad del Estado nacional o provincial, así como los provenientes de aparatos nucleares, de productos militares, armas, municiones, material de guerra o que hayan estado en contacto con residuos patogénicos.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CAPÍTULO III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PLAN PROVINCIAL DE VALORIZACIÓN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DE NEUMÁTICOS FUERA DE USO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8.-</w:t>
      </w:r>
      <w:r w:rsidRPr="005C105F">
        <w:rPr>
          <w:szCs w:val="24"/>
          <w:u w:val="single"/>
          <w:lang w:val="es-AR"/>
        </w:rPr>
        <w:t xml:space="preserve"> </w:t>
      </w:r>
      <w:r w:rsidRPr="005C105F">
        <w:rPr>
          <w:szCs w:val="24"/>
          <w:lang w:val="es-AR"/>
        </w:rPr>
        <w:t>Se crea el Plan Provincial de Valorización de Neumáticos Fuera de Uso.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9.- El Plan Provincial de Valorización de Neumáticos Fuera de Uso tiene los siguientes objetivos: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promover un sistema integrado de manejo responsable de los neumáticos fuera de uso, con el fin de lograr la reducción del impacto ambiental;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2) fomentar el cuidado del medio ambiente, a través de la implementación consciente de la reutilización y toda forma de valorización de los neumáticos en desuso;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3) concientizar a través de los medios de comunicación sobre los efectos negativos de la quema de neumáticos y su depósito en lugares no autorizados;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4) desarrollar programas y lineamientos para el manejo sustentable de los neumáticos fuera de uso durante su ciclo de vida útil.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10.- A los efectos de la presente se entiende por: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Neumático (N): elemento constituido básicamente por caucho y materiales de refuerzo, que se monta sobre una llanta para ser utilizado en el rodamiento de vehículos;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lastRenderedPageBreak/>
        <w:t>2) Neumático Usado (NU): es el neumático que ya fue rodado y que por sus características conserva la capacidad para seguir haciéndolo;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3) Neumático Fuera de Uso (NFU): es el neumático usado cuyo estado de desgaste no reúne las condiciones para seguir siendo utilizado como tal, que es almacenado por el consumidor o usuario final y que mediante un proceso de reconstrucción puede ser reutilizado para su rodamiento;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4) Neumático Reconstruido (NR): es el neumático sometido a un proceso de reparación que permite extender la vida útil de un neumático usado;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 xml:space="preserve">5) Neumático de Desecho (ND): es el neumático que no puede usarse para el propósito que se fabricó originalmente, careciendo de condiciones técnicas necesarias para un proceso de 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proofErr w:type="gramStart"/>
      <w:r w:rsidRPr="005C105F">
        <w:rPr>
          <w:szCs w:val="24"/>
          <w:lang w:val="es-AR"/>
        </w:rPr>
        <w:t>reconstrucción</w:t>
      </w:r>
      <w:proofErr w:type="gramEnd"/>
      <w:r w:rsidRPr="005C105F">
        <w:rPr>
          <w:szCs w:val="24"/>
          <w:lang w:val="es-AR"/>
        </w:rPr>
        <w:t xml:space="preserve"> o aquellos que su poseedor ha transformado en desecho o residuo por propia decisión.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11.- Los neumáticos reciclados pueden ser utilizados en: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superficies deportivas y canchas de césped sintético;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2) juegos para plazas y pisos de seguridad;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3) asfaltos modificados o pavimentos de hormigón de cemento;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4) artículos de decoración;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5) techos de casas y escaleras de exterior;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6) barreras acústicas y de contención contra colisiones;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7) fuentes de energía mediante el adecuado tratamiento de efluentes gaseosos como ser, combustible alternativo en hornos de cemento, en plantas e industrias de generación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proofErr w:type="gramStart"/>
      <w:r w:rsidRPr="005C105F">
        <w:rPr>
          <w:szCs w:val="24"/>
          <w:lang w:val="es-AR"/>
        </w:rPr>
        <w:t>eléctrica</w:t>
      </w:r>
      <w:proofErr w:type="gramEnd"/>
      <w:r w:rsidRPr="005C105F">
        <w:rPr>
          <w:szCs w:val="24"/>
          <w:lang w:val="es-AR"/>
        </w:rPr>
        <w:t>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8) en procesos en que la autoridad de aplicación considere su reutilización.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12.- La Autoridad de Aplicación tiene las siguientes funciones: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planificar los objetivos de la presente norma a corto, mediano y largo plazo, estableciendo los procedimientos y especificaciones ambientales necesarias para la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proofErr w:type="gramStart"/>
      <w:r w:rsidRPr="005C105F">
        <w:rPr>
          <w:szCs w:val="24"/>
          <w:lang w:val="es-AR"/>
        </w:rPr>
        <w:t>aplicación</w:t>
      </w:r>
      <w:proofErr w:type="gramEnd"/>
      <w:r w:rsidRPr="005C105F">
        <w:rPr>
          <w:szCs w:val="24"/>
          <w:lang w:val="es-AR"/>
        </w:rPr>
        <w:t xml:space="preserve"> y control del presente plan;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2) trabajar en coordinación con instituciones públicas y privadas para las tareas de reciclado de neumáticos fuera de uso;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3) diseñar programas para uso comercial de los materiales procedentes de neumáticos fuera de uso, utilizando las tecnologías idóneas para el adecuado tratamiento de los mismos;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4) realizar labores de coordinación para la detección de neumáticos fuera de uso abandonados en lugares no autorizados, como también establecer los sitios de recepción de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proofErr w:type="gramStart"/>
      <w:r w:rsidRPr="005C105F">
        <w:rPr>
          <w:szCs w:val="24"/>
          <w:lang w:val="es-AR"/>
        </w:rPr>
        <w:t>los</w:t>
      </w:r>
      <w:proofErr w:type="gramEnd"/>
      <w:r w:rsidRPr="005C105F">
        <w:rPr>
          <w:szCs w:val="24"/>
          <w:lang w:val="es-AR"/>
        </w:rPr>
        <w:t xml:space="preserve"> mismos;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lastRenderedPageBreak/>
        <w:t>5) intervenir de oficio o por denuncia en la quema de neumáticos, labrando las actuaciones que establezca la reglamentación y aplicar las sanciones respectivas;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6) promover medidas de fomento económico, financiero y fiscal, para la adquisición de maquinaria específica para el tratamiento de los neumáticos fuera de uso y del aprovechamiento energético;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7) establecer para los distribuidores y comerciantes de neumáticos la obligación de elaborar planes empresariales de prevención tendientes a prolongar la vida útil de los mismos y facilitar su reutilización y reciclado;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8) proyectar y efectuar cursos respecto de la formación profesional del personal especializado, promoción de recauchutado de neumáticos, de instalación de plantas de granulación, producción de polvo de goma y de adaptación de hornos para la valoración energética;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9) influir en las pautas de conducta de la población, mediante la realización de campañas de concientización, educación y recolección, siguiendo los objetivos de la presente.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13.- La Autoridad de Aplicación debe crear un registro de los establecimientos, personas humanas o jurídicas autorizadas para el transporte, relocalización, almacenamiento y disposición final de los neumáticos fuera de uso y establecer los procedimientos, formas de inscripción y cancelación respectiva. Asimismo, en un término de dos años, debe realizar los estudios de factibilidad técnica y social para la instalación de establecimientos en el que se reciclen los neumáticos mediante su trituración para convertirlo en caucho sintético.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14.- Se prohíbe en todo el territorio de la Provincia: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almacenar neumáticos fuera de uso cerca de los cursos naturales o artificiales de agua;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2) quemar o acumular neumáticos en desuso a cielo abierto;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3) desechar los neumáticos fuera de uso en terrenos baldíos, basurales, escombreras o enterrarlos;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4) abandonar neumáticos en veredas, tierras fiscales o espacios públicos;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5) depositar y transportar neumáticos fuera de uso junto a otros residuos sólidos o peligrosos;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6) disponer neumáticos usados de manera inadecuada.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15.- La persona humana o jurídica que incurre en lo establecido en el Artículo 14, es sancionada de conformidad con lo dispuesto en el Título – III Infracciones y Sanciones de la Ley XVI - N.º 35 (Antes Ley 3079).</w:t>
      </w:r>
    </w:p>
    <w:p w:rsidR="00A4636E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CAPÍTULO IV</w:t>
      </w:r>
    </w:p>
    <w:p w:rsidR="00A4636E" w:rsidRPr="005C105F" w:rsidRDefault="00A4636E" w:rsidP="00A4636E">
      <w:pPr>
        <w:spacing w:line="360" w:lineRule="auto"/>
        <w:jc w:val="center"/>
        <w:textAlignment w:val="baseline"/>
        <w:rPr>
          <w:szCs w:val="24"/>
          <w:u w:val="single"/>
          <w:lang w:val="es-AR"/>
        </w:rPr>
      </w:pPr>
      <w:r w:rsidRPr="005C105F">
        <w:rPr>
          <w:szCs w:val="24"/>
          <w:u w:val="single"/>
          <w:lang w:val="es-AR"/>
        </w:rPr>
        <w:t>DISPOSICIONES GENERALES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lastRenderedPageBreak/>
        <w:t>ARTÍCULO 16.- Se instituye el 17 de mayo de cada año como el Día Provincial del Reciclaje, a los efectos de concientizar a la población misionera sobre el cuidado del medio ambiente y la importancia de reducir, reutilizar y reciclar los materiales considerados habitualmente como residuos.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17.- La Autoridad de Aplicación debe generar campañas educativas y de concientización destinada a: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1) incentivar la reducción de la basura y la utilización de productos reutilizables;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2) difundir la importancia de la separación y el reciclaje;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 xml:space="preserve">3) impulsar el compostaje o </w:t>
      </w:r>
      <w:proofErr w:type="spellStart"/>
      <w:r w:rsidRPr="005C105F">
        <w:rPr>
          <w:szCs w:val="24"/>
          <w:lang w:val="es-AR"/>
        </w:rPr>
        <w:t>biodigestión</w:t>
      </w:r>
      <w:proofErr w:type="spellEnd"/>
      <w:r w:rsidRPr="005C105F">
        <w:rPr>
          <w:szCs w:val="24"/>
          <w:lang w:val="es-AR"/>
        </w:rPr>
        <w:t xml:space="preserve"> de residuos orgánicos;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4) promover las medidas tendientes al reemplazo gradual de envases descartables por retornables;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5) fomentar el uso de materiales biodegradables;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6) promover la participación de cooperativas y organizaciones no gubernamentales en la recuperación, recolección y reciclado de residuos;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7) implementar gradualmente un sistema mediante el cual los fabricantes de productos de difícil reciclaje se harán cargo de la disposición final de los mismos;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8) impulsar el enfoque de economía circular para la gestión de residuos;</w:t>
      </w: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9) desarrollar una progresiva toma de conciencia por parte de la población, respecto de los problemas ambientales que los residuos sólidos generan y posibles soluciones, como así también el desarrollo de programas de educación ambiental formal, no formal e informal concordantes con la Ley XVI - N. º 80 (Antes Ley 4182) Ley de Educación Ambiental.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  <w:r w:rsidRPr="005C105F">
        <w:rPr>
          <w:szCs w:val="24"/>
          <w:lang w:val="es-AR"/>
        </w:rPr>
        <w:t>ARTÍCULO 18.- Se autoriza al Poder Ejecutivo a efectuar adecuaciones, modificaciones y reestructuraciones presupuestarias necesarias a los fines del cumplimiento de lo establecido en la presente Ley.</w:t>
      </w:r>
    </w:p>
    <w:p w:rsidR="00A4636E" w:rsidRDefault="00A4636E" w:rsidP="00A4636E">
      <w:pPr>
        <w:spacing w:line="360" w:lineRule="auto"/>
        <w:jc w:val="both"/>
        <w:textAlignment w:val="baseline"/>
        <w:rPr>
          <w:szCs w:val="24"/>
          <w:lang w:val="es-AR"/>
        </w:rPr>
      </w:pPr>
    </w:p>
    <w:p w:rsidR="00A4636E" w:rsidRPr="005C105F" w:rsidRDefault="00A4636E" w:rsidP="00A4636E">
      <w:pPr>
        <w:spacing w:line="360" w:lineRule="auto"/>
        <w:jc w:val="both"/>
        <w:textAlignment w:val="baseline"/>
        <w:rPr>
          <w:bCs/>
          <w:szCs w:val="24"/>
          <w:u w:val="single"/>
          <w:lang w:val="es-AR"/>
        </w:rPr>
      </w:pPr>
      <w:r w:rsidRPr="005C105F">
        <w:rPr>
          <w:szCs w:val="24"/>
          <w:lang w:val="es-AR"/>
        </w:rPr>
        <w:t>ARTÍCULO 19.- Comuníquese al Poder Ejecutivo.</w:t>
      </w:r>
    </w:p>
    <w:p w:rsidR="00A4636E" w:rsidRPr="005C105F" w:rsidRDefault="00A4636E" w:rsidP="00A4636E">
      <w:pPr>
        <w:tabs>
          <w:tab w:val="left" w:pos="2977"/>
          <w:tab w:val="left" w:pos="3119"/>
        </w:tabs>
        <w:spacing w:line="360" w:lineRule="auto"/>
        <w:jc w:val="both"/>
        <w:rPr>
          <w:bCs/>
          <w:szCs w:val="24"/>
        </w:rPr>
      </w:pPr>
    </w:p>
    <w:p w:rsidR="005058FF" w:rsidRDefault="005058FF"/>
    <w:sectPr w:rsidR="005058FF" w:rsidSect="00DB5F57">
      <w:pgSz w:w="12242" w:h="20163" w:code="5"/>
      <w:pgMar w:top="3119" w:right="1418" w:bottom="1701" w:left="1418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E"/>
    <w:rsid w:val="00317976"/>
    <w:rsid w:val="005058FF"/>
    <w:rsid w:val="00A4636E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6E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6E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2021-12-01T13:17:00Z</dcterms:created>
  <dcterms:modified xsi:type="dcterms:W3CDTF">2021-12-01T13:20:00Z</dcterms:modified>
</cp:coreProperties>
</file>